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D96" w:rsidRPr="007026A4" w:rsidRDefault="008142DB" w:rsidP="007026A4">
      <w:pPr>
        <w:pStyle w:val="Heading1"/>
        <w:rPr>
          <w:b/>
        </w:rPr>
      </w:pPr>
      <w:r w:rsidRPr="007026A4">
        <w:rPr>
          <w:b/>
        </w:rPr>
        <w:t>References</w:t>
      </w:r>
    </w:p>
    <w:p w:rsidR="007026A4" w:rsidRDefault="007026A4"/>
    <w:p w:rsidR="008142DB" w:rsidRPr="007026A4" w:rsidRDefault="008142DB" w:rsidP="007026A4">
      <w:pPr>
        <w:pStyle w:val="Heading1"/>
        <w:rPr>
          <w:sz w:val="28"/>
        </w:rPr>
      </w:pPr>
      <w:r w:rsidRPr="007026A4">
        <w:rPr>
          <w:sz w:val="28"/>
        </w:rPr>
        <w:t>Chapter 1</w:t>
      </w:r>
    </w:p>
    <w:p w:rsidR="0000021D" w:rsidRDefault="00BB7809" w:rsidP="007026A4">
      <w:proofErr w:type="spellStart"/>
      <w:r w:rsidRPr="00B33F9E">
        <w:t>Cherney</w:t>
      </w:r>
      <w:proofErr w:type="spellEnd"/>
      <w:r w:rsidRPr="00B33F9E">
        <w:t>, I.D., &amp; Dempsey, J. (2010). Young children’s classification, stereotyping, and play behavior for gender neutral and ambiguous toys. </w:t>
      </w:r>
      <w:r w:rsidRPr="00B33F9E">
        <w:rPr>
          <w:i/>
          <w:iCs/>
        </w:rPr>
        <w:t>Educational Psychology</w:t>
      </w:r>
      <w:r w:rsidRPr="00B33F9E">
        <w:t>, </w:t>
      </w:r>
      <w:r w:rsidRPr="00B33F9E">
        <w:rPr>
          <w:i/>
          <w:iCs/>
        </w:rPr>
        <w:t>30</w:t>
      </w:r>
      <w:r w:rsidRPr="00B33F9E">
        <w:t>(6), 651-669. </w:t>
      </w:r>
    </w:p>
    <w:p w:rsidR="0000021D" w:rsidRDefault="0000021D" w:rsidP="007026A4">
      <w:r w:rsidRPr="00B33F9E">
        <w:t>Fitzpatrick, K. (2013). </w:t>
      </w:r>
      <w:r w:rsidRPr="00B33F9E">
        <w:rPr>
          <w:i/>
          <w:iCs/>
        </w:rPr>
        <w:t>Critical pedagogy, physical education, and urban schooling</w:t>
      </w:r>
      <w:r w:rsidRPr="00B33F9E">
        <w:t>. New York, NY: Lang.</w:t>
      </w:r>
    </w:p>
    <w:p w:rsidR="00F47A5C" w:rsidRDefault="00F47A5C" w:rsidP="007026A4">
      <w:r w:rsidRPr="00B33F9E">
        <w:t>Hooker, K.E., &amp; Fodor, I.E. (2008). Teaching mindfulness to children. </w:t>
      </w:r>
      <w:r w:rsidRPr="00B33F9E">
        <w:rPr>
          <w:i/>
          <w:iCs/>
        </w:rPr>
        <w:t>Gestalt Review</w:t>
      </w:r>
      <w:r w:rsidRPr="00B33F9E">
        <w:t>, </w:t>
      </w:r>
      <w:r w:rsidRPr="00B33F9E">
        <w:rPr>
          <w:i/>
          <w:iCs/>
        </w:rPr>
        <w:t>12</w:t>
      </w:r>
      <w:r w:rsidRPr="00B33F9E">
        <w:t>(1), 75-91. </w:t>
      </w:r>
    </w:p>
    <w:p w:rsidR="00F47A5C" w:rsidRDefault="00F47A5C" w:rsidP="007026A4">
      <w:proofErr w:type="spellStart"/>
      <w:r w:rsidRPr="00B33F9E">
        <w:t>Kabat</w:t>
      </w:r>
      <w:proofErr w:type="spellEnd"/>
      <w:r w:rsidRPr="00B33F9E">
        <w:t>-Zinn, J. (1990). </w:t>
      </w:r>
      <w:r w:rsidRPr="00B33F9E">
        <w:rPr>
          <w:i/>
          <w:iCs/>
        </w:rPr>
        <w:t>Full catastrophe living: Using the wisdom of your body and mind to face stress, pain, and illness</w:t>
      </w:r>
      <w:r w:rsidRPr="00B33F9E">
        <w:t xml:space="preserve">. New York, NY: </w:t>
      </w:r>
      <w:proofErr w:type="spellStart"/>
      <w:r w:rsidRPr="00B33F9E">
        <w:t>Delacorte</w:t>
      </w:r>
      <w:proofErr w:type="spellEnd"/>
      <w:r w:rsidRPr="00B33F9E">
        <w:t>.</w:t>
      </w:r>
    </w:p>
    <w:p w:rsidR="002B3C16" w:rsidRDefault="002B3C16" w:rsidP="007026A4">
      <w:proofErr w:type="spellStart"/>
      <w:r w:rsidRPr="00B33F9E">
        <w:t>Ludvigsen</w:t>
      </w:r>
      <w:proofErr w:type="spellEnd"/>
      <w:r w:rsidRPr="00B33F9E">
        <w:t xml:space="preserve">, A., &amp; Scott, S. (2009). Real kids </w:t>
      </w:r>
      <w:proofErr w:type="gramStart"/>
      <w:r w:rsidRPr="00B33F9E">
        <w:t>don’t</w:t>
      </w:r>
      <w:proofErr w:type="gramEnd"/>
      <w:r w:rsidRPr="00B33F9E">
        <w:t xml:space="preserve"> eat quiche. </w:t>
      </w:r>
      <w:r w:rsidRPr="00B33F9E">
        <w:rPr>
          <w:i/>
          <w:iCs/>
        </w:rPr>
        <w:t>Food, Culture, &amp; Society, 12</w:t>
      </w:r>
      <w:r w:rsidRPr="00B33F9E">
        <w:t>(4), 417-436. </w:t>
      </w:r>
    </w:p>
    <w:p w:rsidR="0000021D" w:rsidRDefault="0000021D" w:rsidP="007026A4">
      <w:proofErr w:type="spellStart"/>
      <w:r w:rsidRPr="00B33F9E">
        <w:t>Mandigo</w:t>
      </w:r>
      <w:proofErr w:type="spellEnd"/>
      <w:r w:rsidRPr="00B33F9E">
        <w:t xml:space="preserve">, J., Francis, N., </w:t>
      </w:r>
      <w:proofErr w:type="spellStart"/>
      <w:r w:rsidRPr="00B33F9E">
        <w:t>Lodewyk</w:t>
      </w:r>
      <w:proofErr w:type="spellEnd"/>
      <w:r w:rsidRPr="00B33F9E">
        <w:t>, K., &amp; Lopez, R. (2009). </w:t>
      </w:r>
      <w:r w:rsidRPr="00B33F9E">
        <w:rPr>
          <w:i/>
          <w:iCs/>
        </w:rPr>
        <w:t>Position paper: Physical literacy for educators</w:t>
      </w:r>
      <w:r w:rsidRPr="00B33F9E">
        <w:t>. Physical and Health Education Canada. http://69.90.163.107/sites/default/files/f</w:t>
      </w:r>
      <w:bookmarkStart w:id="0" w:name="_GoBack"/>
      <w:bookmarkEnd w:id="0"/>
      <w:r w:rsidRPr="00B33F9E">
        <w:t>iles/Archive/PHE%20Canada%20Position%20Paper%20Physical%20Literacy%20For%20Educators.pdf</w:t>
      </w:r>
    </w:p>
    <w:p w:rsidR="00C16A16" w:rsidRDefault="00C16A16" w:rsidP="007026A4">
      <w:proofErr w:type="spellStart"/>
      <w:r>
        <w:t>Menzel</w:t>
      </w:r>
      <w:proofErr w:type="spellEnd"/>
      <w:r>
        <w:t xml:space="preserve">, P., &amp; </w:t>
      </w:r>
      <w:proofErr w:type="spellStart"/>
      <w:r>
        <w:t>D’Aluisio</w:t>
      </w:r>
      <w:proofErr w:type="spellEnd"/>
      <w:r>
        <w:t xml:space="preserve">, F. (2007). </w:t>
      </w:r>
      <w:r w:rsidRPr="0071197D">
        <w:rPr>
          <w:i/>
        </w:rPr>
        <w:t>Hungry planet: What the world eats</w:t>
      </w:r>
      <w:r>
        <w:t>. Napa, CA</w:t>
      </w:r>
      <w:r w:rsidRPr="0071197D">
        <w:t>: Material World Books</w:t>
      </w:r>
      <w:r>
        <w:t>.</w:t>
      </w:r>
    </w:p>
    <w:p w:rsidR="008142DB" w:rsidRDefault="008142DB" w:rsidP="007026A4">
      <w:proofErr w:type="spellStart"/>
      <w:r>
        <w:t>Schön</w:t>
      </w:r>
      <w:proofErr w:type="spellEnd"/>
      <w:r>
        <w:t>, D. A. (1983). The reflective practitioner: How professionals think in action.</w:t>
      </w:r>
    </w:p>
    <w:p w:rsidR="008142DB" w:rsidRDefault="008142DB" w:rsidP="007026A4">
      <w:r>
        <w:t>London, UK: Temple Smith.</w:t>
      </w:r>
    </w:p>
    <w:p w:rsidR="00BF579C" w:rsidRDefault="00F47A5C" w:rsidP="008142DB">
      <w:r w:rsidRPr="00B33F9E">
        <w:t xml:space="preserve">Young J., Haas, E., &amp; </w:t>
      </w:r>
      <w:proofErr w:type="spellStart"/>
      <w:r w:rsidRPr="00B33F9E">
        <w:t>McGown</w:t>
      </w:r>
      <w:proofErr w:type="spellEnd"/>
      <w:r w:rsidRPr="00B33F9E">
        <w:t>, E. (2010). </w:t>
      </w:r>
      <w:r w:rsidRPr="00B33F9E">
        <w:rPr>
          <w:i/>
          <w:iCs/>
        </w:rPr>
        <w:t>Coyote’s guide to connecting with nature</w:t>
      </w:r>
      <w:r>
        <w:t xml:space="preserve">. Shelton, WA: </w:t>
      </w:r>
      <w:proofErr w:type="spellStart"/>
      <w:r>
        <w:t>Owlink</w:t>
      </w:r>
      <w:proofErr w:type="spellEnd"/>
      <w:r>
        <w:t xml:space="preserve"> Media.</w:t>
      </w:r>
    </w:p>
    <w:p w:rsidR="00BF579C" w:rsidRPr="007026A4" w:rsidRDefault="00BF579C" w:rsidP="007026A4">
      <w:pPr>
        <w:pStyle w:val="Heading1"/>
        <w:rPr>
          <w:sz w:val="28"/>
        </w:rPr>
      </w:pPr>
      <w:r w:rsidRPr="007026A4">
        <w:rPr>
          <w:sz w:val="28"/>
        </w:rPr>
        <w:t>Chapter 4</w:t>
      </w:r>
    </w:p>
    <w:p w:rsidR="0003173B" w:rsidRDefault="0003173B" w:rsidP="00CC5DDD">
      <w:r w:rsidRPr="004E39F9">
        <w:t xml:space="preserve">Alexander, M., &amp; </w:t>
      </w:r>
      <w:proofErr w:type="spellStart"/>
      <w:r w:rsidRPr="004E39F9">
        <w:t>Schwager</w:t>
      </w:r>
      <w:proofErr w:type="spellEnd"/>
      <w:r w:rsidRPr="004E39F9">
        <w:t xml:space="preserve">, S. (2012). </w:t>
      </w:r>
      <w:r w:rsidRPr="00AA3876">
        <w:rPr>
          <w:i/>
        </w:rPr>
        <w:t>Meeting the physical education needs of children with ASD</w:t>
      </w:r>
      <w:r w:rsidRPr="00676B67">
        <w:t>. Champaign, IL: Human Kinetics.</w:t>
      </w:r>
    </w:p>
    <w:p w:rsidR="00BF579C" w:rsidRDefault="00BF579C" w:rsidP="00CC5DDD">
      <w:r w:rsidRPr="00676B67">
        <w:t xml:space="preserve">Canales, L., &amp; Lytle, R. (2011). </w:t>
      </w:r>
      <w:r w:rsidRPr="00676B67">
        <w:rPr>
          <w:i/>
        </w:rPr>
        <w:t>Physical activity for young people with severe disabilities</w:t>
      </w:r>
      <w:r w:rsidRPr="00676B67">
        <w:t>. Champaign, IL: Human Kinetics.</w:t>
      </w:r>
    </w:p>
    <w:p w:rsidR="0003173B" w:rsidRDefault="0003173B" w:rsidP="00CC5DDD">
      <w:r w:rsidRPr="00676B67">
        <w:t xml:space="preserve">CIRA Ontario. (1998). </w:t>
      </w:r>
      <w:r w:rsidRPr="00676B67">
        <w:rPr>
          <w:i/>
        </w:rPr>
        <w:t>Great gator games</w:t>
      </w:r>
      <w:r w:rsidRPr="00676B67">
        <w:t xml:space="preserve">. </w:t>
      </w:r>
      <w:proofErr w:type="spellStart"/>
      <w:r w:rsidRPr="00676B67">
        <w:t>Ancaster</w:t>
      </w:r>
      <w:proofErr w:type="spellEnd"/>
      <w:r w:rsidRPr="00676B67">
        <w:t>, ON: Author.</w:t>
      </w:r>
    </w:p>
    <w:p w:rsidR="0003173B" w:rsidRPr="00C207A5" w:rsidRDefault="00CC5DDD" w:rsidP="008142DB">
      <w:r w:rsidRPr="00676B67">
        <w:t xml:space="preserve">CIRA Ontario. (2004). </w:t>
      </w:r>
      <w:r w:rsidRPr="00676B67">
        <w:rPr>
          <w:i/>
        </w:rPr>
        <w:t>Oodles of noodles</w:t>
      </w:r>
      <w:r w:rsidRPr="00676B67">
        <w:t xml:space="preserve">. </w:t>
      </w:r>
      <w:proofErr w:type="spellStart"/>
      <w:r w:rsidRPr="00676B67">
        <w:t>Ancaster</w:t>
      </w:r>
      <w:proofErr w:type="spellEnd"/>
      <w:r w:rsidRPr="00676B67">
        <w:t>, ON: Author.</w:t>
      </w:r>
    </w:p>
    <w:p w:rsidR="0003173B" w:rsidRPr="00A15AC1" w:rsidRDefault="0003173B" w:rsidP="00A15AC1">
      <w:pPr>
        <w:pStyle w:val="Heading1"/>
        <w:rPr>
          <w:sz w:val="28"/>
        </w:rPr>
      </w:pPr>
      <w:r w:rsidRPr="00A15AC1">
        <w:rPr>
          <w:sz w:val="28"/>
        </w:rPr>
        <w:t>Chapter 5</w:t>
      </w:r>
    </w:p>
    <w:p w:rsidR="002E1677" w:rsidRDefault="00D1720F" w:rsidP="00A15AC1">
      <w:r w:rsidRPr="001804F3">
        <w:t>Fawcett, L, Bell, A</w:t>
      </w:r>
      <w:r>
        <w:t>.</w:t>
      </w:r>
      <w:r w:rsidRPr="001804F3">
        <w:t>C</w:t>
      </w:r>
      <w:r>
        <w:t>.</w:t>
      </w:r>
      <w:r w:rsidRPr="001804F3">
        <w:t>, &amp; Russell, C</w:t>
      </w:r>
      <w:r>
        <w:t>.</w:t>
      </w:r>
      <w:r w:rsidRPr="001804F3">
        <w:t>L</w:t>
      </w:r>
      <w:r>
        <w:t>.</w:t>
      </w:r>
      <w:r w:rsidRPr="001804F3">
        <w:t xml:space="preserve"> (2002). Guiding our environmental praxis: Teaching for social and environmental justice. In W</w:t>
      </w:r>
      <w:r>
        <w:t>.</w:t>
      </w:r>
      <w:r w:rsidRPr="001804F3">
        <w:t xml:space="preserve"> Leal </w:t>
      </w:r>
      <w:proofErr w:type="spellStart"/>
      <w:r w:rsidRPr="001804F3">
        <w:t>Filho</w:t>
      </w:r>
      <w:proofErr w:type="spellEnd"/>
      <w:r w:rsidRPr="001804F3">
        <w:t xml:space="preserve"> (Ed.), </w:t>
      </w:r>
      <w:r w:rsidRPr="001804F3">
        <w:rPr>
          <w:i/>
        </w:rPr>
        <w:t>Teaching sustainability at universities: Towards curriculum greening</w:t>
      </w:r>
      <w:r w:rsidRPr="001804F3">
        <w:t xml:space="preserve"> (pp. 223-228)</w:t>
      </w:r>
      <w:r>
        <w:t>.</w:t>
      </w:r>
      <w:r w:rsidRPr="001804F3">
        <w:t xml:space="preserve"> New York</w:t>
      </w:r>
      <w:r>
        <w:t>, NY</w:t>
      </w:r>
      <w:r w:rsidRPr="001804F3">
        <w:t xml:space="preserve">: </w:t>
      </w:r>
      <w:r>
        <w:t xml:space="preserve">Peter </w:t>
      </w:r>
      <w:r w:rsidRPr="001804F3">
        <w:t>Lang</w:t>
      </w:r>
      <w:r>
        <w:t xml:space="preserve"> Publishing Inc.</w:t>
      </w:r>
    </w:p>
    <w:p w:rsidR="002E1677" w:rsidRPr="00834A3A" w:rsidRDefault="002E1677" w:rsidP="00834A3A">
      <w:pPr>
        <w:pStyle w:val="Heading1"/>
        <w:rPr>
          <w:rStyle w:val="Strong"/>
          <w:b w:val="0"/>
          <w:bCs w:val="0"/>
          <w:sz w:val="28"/>
        </w:rPr>
      </w:pPr>
      <w:r w:rsidRPr="00834A3A">
        <w:rPr>
          <w:rStyle w:val="Strong"/>
          <w:b w:val="0"/>
          <w:bCs w:val="0"/>
          <w:sz w:val="28"/>
        </w:rPr>
        <w:lastRenderedPageBreak/>
        <w:t>Chapter 6</w:t>
      </w:r>
    </w:p>
    <w:p w:rsidR="000C53E0" w:rsidRPr="00C207A5" w:rsidRDefault="002E1677" w:rsidP="008142DB">
      <w:pPr>
        <w:rPr>
          <w:rStyle w:val="Strong"/>
          <w:rFonts w:cs="Arial"/>
          <w:b w:val="0"/>
          <w:color w:val="000000" w:themeColor="text1"/>
          <w:szCs w:val="21"/>
          <w:shd w:val="clear" w:color="auto" w:fill="FFFFFF"/>
        </w:rPr>
      </w:pPr>
      <w:proofErr w:type="spellStart"/>
      <w:r w:rsidRPr="00834A3A">
        <w:rPr>
          <w:rStyle w:val="Strong"/>
          <w:rFonts w:cs="Arial"/>
          <w:b w:val="0"/>
          <w:color w:val="000000" w:themeColor="text1"/>
          <w:szCs w:val="21"/>
          <w:shd w:val="clear" w:color="auto" w:fill="FFFFFF"/>
        </w:rPr>
        <w:t>Brendtro</w:t>
      </w:r>
      <w:proofErr w:type="spellEnd"/>
      <w:r w:rsidRPr="00834A3A">
        <w:rPr>
          <w:rStyle w:val="Strong"/>
          <w:rFonts w:cs="Arial"/>
          <w:b w:val="0"/>
          <w:color w:val="000000" w:themeColor="text1"/>
          <w:szCs w:val="21"/>
          <w:shd w:val="clear" w:color="auto" w:fill="FFFFFF"/>
        </w:rPr>
        <w:t xml:space="preserve">, L., </w:t>
      </w:r>
      <w:proofErr w:type="spellStart"/>
      <w:r w:rsidRPr="00834A3A">
        <w:rPr>
          <w:rStyle w:val="Strong"/>
          <w:rFonts w:cs="Arial"/>
          <w:b w:val="0"/>
          <w:color w:val="000000" w:themeColor="text1"/>
          <w:szCs w:val="21"/>
          <w:shd w:val="clear" w:color="auto" w:fill="FFFFFF"/>
        </w:rPr>
        <w:t>Brokenleg</w:t>
      </w:r>
      <w:proofErr w:type="spellEnd"/>
      <w:r w:rsidRPr="00834A3A">
        <w:rPr>
          <w:rStyle w:val="Strong"/>
          <w:rFonts w:cs="Arial"/>
          <w:b w:val="0"/>
          <w:color w:val="000000" w:themeColor="text1"/>
          <w:szCs w:val="21"/>
          <w:shd w:val="clear" w:color="auto" w:fill="FFFFFF"/>
        </w:rPr>
        <w:t xml:space="preserve">, M., &amp; Van </w:t>
      </w:r>
      <w:proofErr w:type="spellStart"/>
      <w:r w:rsidRPr="00834A3A">
        <w:rPr>
          <w:rStyle w:val="Strong"/>
          <w:rFonts w:cs="Arial"/>
          <w:b w:val="0"/>
          <w:color w:val="000000" w:themeColor="text1"/>
          <w:szCs w:val="21"/>
          <w:shd w:val="clear" w:color="auto" w:fill="FFFFFF"/>
        </w:rPr>
        <w:t>Bockern</w:t>
      </w:r>
      <w:proofErr w:type="spellEnd"/>
      <w:r w:rsidRPr="00834A3A">
        <w:rPr>
          <w:rStyle w:val="Strong"/>
          <w:rFonts w:cs="Arial"/>
          <w:b w:val="0"/>
          <w:color w:val="000000" w:themeColor="text1"/>
          <w:szCs w:val="21"/>
          <w:shd w:val="clear" w:color="auto" w:fill="FFFFFF"/>
        </w:rPr>
        <w:t xml:space="preserve">, S. (1993). </w:t>
      </w:r>
      <w:r w:rsidRPr="00834A3A">
        <w:rPr>
          <w:rStyle w:val="Strong"/>
          <w:rFonts w:cs="Arial"/>
          <w:b w:val="0"/>
          <w:i/>
          <w:color w:val="000000" w:themeColor="text1"/>
          <w:szCs w:val="21"/>
          <w:shd w:val="clear" w:color="auto" w:fill="FFFFFF"/>
        </w:rPr>
        <w:t>Reclaiming Youth at Risk: Our Hope for the Future</w:t>
      </w:r>
      <w:r w:rsidRPr="00834A3A">
        <w:rPr>
          <w:rStyle w:val="Strong"/>
          <w:rFonts w:cs="Arial"/>
          <w:b w:val="0"/>
          <w:color w:val="000000" w:themeColor="text1"/>
          <w:szCs w:val="21"/>
          <w:shd w:val="clear" w:color="auto" w:fill="FFFFFF"/>
        </w:rPr>
        <w:t xml:space="preserve"> (pp. 137-138). Bloomington, IN: Solution Tree.</w:t>
      </w:r>
    </w:p>
    <w:p w:rsidR="000C53E0" w:rsidRPr="00834A3A" w:rsidRDefault="000C53E0" w:rsidP="00834A3A">
      <w:pPr>
        <w:pStyle w:val="Heading1"/>
        <w:rPr>
          <w:rStyle w:val="Strong"/>
          <w:b w:val="0"/>
          <w:bCs w:val="0"/>
          <w:sz w:val="28"/>
        </w:rPr>
      </w:pPr>
      <w:r w:rsidRPr="00834A3A">
        <w:rPr>
          <w:rStyle w:val="Strong"/>
          <w:b w:val="0"/>
          <w:bCs w:val="0"/>
          <w:sz w:val="28"/>
        </w:rPr>
        <w:t>Chapter 10</w:t>
      </w:r>
    </w:p>
    <w:p w:rsidR="000C53E0" w:rsidRDefault="000C53E0" w:rsidP="008142DB">
      <w:pPr>
        <w:rPr>
          <w:color w:val="000000"/>
        </w:rPr>
      </w:pPr>
      <w:r w:rsidRPr="00531964">
        <w:rPr>
          <w:color w:val="000000"/>
        </w:rPr>
        <w:t xml:space="preserve">CIRA Ontario. (1998). </w:t>
      </w:r>
      <w:r w:rsidRPr="004E39F9">
        <w:rPr>
          <w:i/>
          <w:color w:val="000000"/>
        </w:rPr>
        <w:t>Great gator games</w:t>
      </w:r>
      <w:r w:rsidRPr="00676B67">
        <w:rPr>
          <w:color w:val="000000"/>
        </w:rPr>
        <w:t xml:space="preserve">. </w:t>
      </w:r>
      <w:proofErr w:type="spellStart"/>
      <w:r w:rsidRPr="00676B67">
        <w:rPr>
          <w:color w:val="000000"/>
        </w:rPr>
        <w:t>Ancaster</w:t>
      </w:r>
      <w:proofErr w:type="spellEnd"/>
      <w:r w:rsidRPr="00676B67">
        <w:rPr>
          <w:color w:val="000000"/>
        </w:rPr>
        <w:t>, ON: Author.</w:t>
      </w:r>
    </w:p>
    <w:p w:rsidR="000C53E0" w:rsidRDefault="000C53E0" w:rsidP="000C53E0">
      <w:pPr>
        <w:rPr>
          <w:color w:val="000000"/>
        </w:rPr>
      </w:pPr>
      <w:r w:rsidRPr="00676B67">
        <w:rPr>
          <w:color w:val="000000"/>
        </w:rPr>
        <w:t xml:space="preserve">Glover, D., &amp; </w:t>
      </w:r>
      <w:proofErr w:type="spellStart"/>
      <w:r w:rsidRPr="00676B67">
        <w:rPr>
          <w:color w:val="000000"/>
        </w:rPr>
        <w:t>Midura</w:t>
      </w:r>
      <w:proofErr w:type="spellEnd"/>
      <w:r w:rsidRPr="00676B67">
        <w:rPr>
          <w:color w:val="000000"/>
        </w:rPr>
        <w:t xml:space="preserve">, D. (1992). </w:t>
      </w:r>
      <w:r w:rsidRPr="00676B67">
        <w:rPr>
          <w:i/>
          <w:color w:val="000000"/>
        </w:rPr>
        <w:t>Team building through physical challenges</w:t>
      </w:r>
      <w:r w:rsidRPr="00676B67">
        <w:rPr>
          <w:color w:val="000000"/>
        </w:rPr>
        <w:t>. Windsor, ON: Human Kinetics.</w:t>
      </w:r>
    </w:p>
    <w:p w:rsidR="0056524A" w:rsidRDefault="000C53E0" w:rsidP="000C53E0">
      <w:pPr>
        <w:rPr>
          <w:color w:val="000000"/>
        </w:rPr>
      </w:pPr>
      <w:r w:rsidRPr="00676B67">
        <w:rPr>
          <w:color w:val="000000"/>
        </w:rPr>
        <w:t xml:space="preserve">Scaini, C., &amp; Evans, C. (2012). </w:t>
      </w:r>
      <w:proofErr w:type="gramStart"/>
      <w:r w:rsidRPr="00676B67">
        <w:rPr>
          <w:i/>
          <w:color w:val="000000"/>
        </w:rPr>
        <w:t>50</w:t>
      </w:r>
      <w:proofErr w:type="gramEnd"/>
      <w:r w:rsidRPr="00676B67">
        <w:rPr>
          <w:i/>
          <w:color w:val="000000"/>
        </w:rPr>
        <w:t xml:space="preserve"> games for going green</w:t>
      </w:r>
      <w:r w:rsidRPr="00676B67">
        <w:rPr>
          <w:color w:val="000000"/>
        </w:rPr>
        <w:t>.</w:t>
      </w:r>
      <w:r w:rsidRPr="00676B67">
        <w:rPr>
          <w:i/>
          <w:color w:val="000000"/>
        </w:rPr>
        <w:t xml:space="preserve"> </w:t>
      </w:r>
      <w:r w:rsidRPr="00676B67">
        <w:rPr>
          <w:color w:val="000000"/>
        </w:rPr>
        <w:t>Windsor, ON: Human Kinetics.</w:t>
      </w:r>
    </w:p>
    <w:p w:rsidR="0056524A" w:rsidRPr="00D00DDD" w:rsidRDefault="0056524A" w:rsidP="00D00DDD">
      <w:pPr>
        <w:pStyle w:val="Heading1"/>
        <w:rPr>
          <w:sz w:val="28"/>
        </w:rPr>
      </w:pPr>
      <w:r w:rsidRPr="00D00DDD">
        <w:rPr>
          <w:sz w:val="28"/>
        </w:rPr>
        <w:t>Chapter 12</w:t>
      </w:r>
    </w:p>
    <w:p w:rsidR="009D250C" w:rsidRPr="00C207A5" w:rsidRDefault="0056524A" w:rsidP="000C53E0">
      <w:r w:rsidRPr="00B33F9E">
        <w:t>Griffin, L., &amp; Butler, J. (Eds.). (2005). </w:t>
      </w:r>
      <w:proofErr w:type="gramStart"/>
      <w:r w:rsidRPr="00B33F9E">
        <w:rPr>
          <w:i/>
          <w:iCs/>
        </w:rPr>
        <w:t>Teaching</w:t>
      </w:r>
      <w:proofErr w:type="gramEnd"/>
      <w:r w:rsidRPr="00B33F9E">
        <w:rPr>
          <w:i/>
          <w:iCs/>
        </w:rPr>
        <w:t xml:space="preserve"> games for understanding: Theory, research, and practice</w:t>
      </w:r>
      <w:r w:rsidRPr="00B33F9E">
        <w:t>. Champaign, IL: Human Kinetics.</w:t>
      </w:r>
    </w:p>
    <w:p w:rsidR="009D250C" w:rsidRPr="00D00DDD" w:rsidRDefault="009D250C" w:rsidP="00D00DDD">
      <w:pPr>
        <w:pStyle w:val="Heading1"/>
        <w:rPr>
          <w:rFonts w:eastAsia="Times New Roman"/>
          <w:sz w:val="28"/>
        </w:rPr>
      </w:pPr>
      <w:r w:rsidRPr="00D00DDD">
        <w:rPr>
          <w:rFonts w:eastAsia="Times New Roman"/>
          <w:sz w:val="28"/>
        </w:rPr>
        <w:t>Chapter 15</w:t>
      </w:r>
    </w:p>
    <w:p w:rsidR="00116C11" w:rsidRPr="00C207A5" w:rsidRDefault="009D250C" w:rsidP="000C53E0">
      <w:pPr>
        <w:rPr>
          <w:rFonts w:eastAsia="Times New Roman"/>
          <w:color w:val="000000"/>
          <w:u w:val="single"/>
        </w:rPr>
      </w:pPr>
      <w:proofErr w:type="spellStart"/>
      <w:r w:rsidRPr="00762E33">
        <w:rPr>
          <w:rFonts w:eastAsia="Times New Roman"/>
          <w:color w:val="000000"/>
        </w:rPr>
        <w:t>Kindt</w:t>
      </w:r>
      <w:proofErr w:type="spellEnd"/>
      <w:r w:rsidRPr="00762E33">
        <w:rPr>
          <w:rFonts w:eastAsia="Times New Roman"/>
          <w:color w:val="000000"/>
        </w:rPr>
        <w:t>, D. (2001).</w:t>
      </w:r>
      <w:r w:rsidRPr="00531964">
        <w:rPr>
          <w:rStyle w:val="apple-converted-space"/>
          <w:rFonts w:eastAsia="Times New Roman"/>
          <w:i/>
          <w:iCs/>
        </w:rPr>
        <w:t> </w:t>
      </w:r>
      <w:r w:rsidRPr="004E39F9">
        <w:rPr>
          <w:rFonts w:eastAsia="Times New Roman"/>
          <w:color w:val="000000"/>
        </w:rPr>
        <w:t>Yarn toss: A simple activity for demonstrating interconnectedness in language classrooms.</w:t>
      </w:r>
      <w:r w:rsidRPr="00676B67">
        <w:rPr>
          <w:rStyle w:val="apple-converted-space"/>
          <w:rFonts w:eastAsia="Times New Roman"/>
        </w:rPr>
        <w:t> </w:t>
      </w:r>
      <w:r w:rsidRPr="00676B67">
        <w:rPr>
          <w:rStyle w:val="style3"/>
          <w:rFonts w:eastAsia="Times New Roman"/>
          <w:i/>
          <w:iCs/>
          <w:color w:val="000000"/>
          <w:shd w:val="clear" w:color="auto" w:fill="FFFFFF"/>
        </w:rPr>
        <w:t>The Language Teacher, 25</w:t>
      </w:r>
      <w:r w:rsidRPr="00676B67">
        <w:rPr>
          <w:rFonts w:eastAsia="Times New Roman"/>
          <w:color w:val="000000"/>
          <w:shd w:val="clear" w:color="auto" w:fill="FFFFFF"/>
        </w:rPr>
        <w:t>(6), 54-55.</w:t>
      </w:r>
      <w:r w:rsidRPr="00B33F9E">
        <w:rPr>
          <w:rStyle w:val="apple-converted-space"/>
          <w:rFonts w:eastAsia="Times New Roman"/>
        </w:rPr>
        <w:t> </w:t>
      </w:r>
      <w:r w:rsidR="009D18B8">
        <w:rPr>
          <w:rFonts w:eastAsia="Times New Roman"/>
          <w:color w:val="000000"/>
        </w:rPr>
        <w:t>http://jalt-</w:t>
      </w:r>
      <w:r w:rsidRPr="009D250C">
        <w:rPr>
          <w:rFonts w:eastAsia="Times New Roman"/>
          <w:color w:val="000000"/>
        </w:rPr>
        <w:t>publications.org/old_tlt/articles/2001/06/kindt</w:t>
      </w:r>
    </w:p>
    <w:p w:rsidR="00B33C7D" w:rsidRPr="003433EB" w:rsidRDefault="00B33C7D" w:rsidP="003433EB">
      <w:pPr>
        <w:pStyle w:val="Heading1"/>
        <w:rPr>
          <w:sz w:val="28"/>
        </w:rPr>
      </w:pPr>
      <w:r w:rsidRPr="003433EB">
        <w:rPr>
          <w:sz w:val="28"/>
        </w:rPr>
        <w:t>Chapter 16</w:t>
      </w:r>
    </w:p>
    <w:p w:rsidR="00B33C7D" w:rsidRDefault="00B33C7D" w:rsidP="003433EB">
      <w:proofErr w:type="spellStart"/>
      <w:r>
        <w:t>Midura</w:t>
      </w:r>
      <w:proofErr w:type="spellEnd"/>
      <w:r>
        <w:t xml:space="preserve">, D. W., &amp; Glover, D. R. (1995). </w:t>
      </w:r>
      <w:r>
        <w:rPr>
          <w:i/>
        </w:rPr>
        <w:t>More team building challenges</w:t>
      </w:r>
      <w:r>
        <w:t>. Human Kinetics. Pp. 35-39.</w:t>
      </w:r>
    </w:p>
    <w:p w:rsidR="00B33C7D" w:rsidRDefault="00B33C7D" w:rsidP="003433EB">
      <w:r>
        <w:t>National Centre for Sustainability (</w:t>
      </w:r>
      <w:proofErr w:type="spellStart"/>
      <w:r>
        <w:t>n.d.b</w:t>
      </w:r>
      <w:proofErr w:type="spellEnd"/>
      <w:r>
        <w:t xml:space="preserve">). </w:t>
      </w:r>
      <w:r>
        <w:rPr>
          <w:i/>
        </w:rPr>
        <w:t>Systems thinking activity</w:t>
      </w:r>
      <w:r>
        <w:t xml:space="preserve">. Retrieved from </w:t>
      </w:r>
      <w:r w:rsidRPr="00B33C7D">
        <w:rPr>
          <w:rFonts w:eastAsia="Times New Roman"/>
        </w:rPr>
        <w:t>http://www.swinburne.edu.au/ncs/efshub/Activities/Systems%20Thinking%20activity.pdf</w:t>
      </w:r>
    </w:p>
    <w:p w:rsidR="00B33C7D" w:rsidRDefault="00B33C7D" w:rsidP="003433EB">
      <w:pPr>
        <w:rPr>
          <w:rFonts w:eastAsia="Times New Roman"/>
        </w:rPr>
      </w:pPr>
      <w:r>
        <w:rPr>
          <w:rFonts w:eastAsia="Times New Roman"/>
        </w:rPr>
        <w:t xml:space="preserve">Scouts Canada (2004). </w:t>
      </w:r>
      <w:r>
        <w:rPr>
          <w:rFonts w:eastAsia="Times New Roman"/>
          <w:i/>
        </w:rPr>
        <w:t>CUB meeting schedule: Week 1</w:t>
      </w:r>
      <w:r>
        <w:rPr>
          <w:rFonts w:eastAsia="Times New Roman"/>
        </w:rPr>
        <w:t xml:space="preserve">. </w:t>
      </w:r>
      <w:r>
        <w:t xml:space="preserve">Retrieved from </w:t>
      </w:r>
      <w:r w:rsidRPr="00B33C7D">
        <w:t>http://www.scouts.ca/sites/default/files/js_cs_climate-change_wk1.pdf</w:t>
      </w:r>
      <w:r>
        <w:rPr>
          <w:rStyle w:val="Hyperlink"/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33C7D" w:rsidRPr="00C207A5" w:rsidRDefault="00B33C7D" w:rsidP="000C53E0">
      <w:pPr>
        <w:rPr>
          <w:color w:val="000000"/>
          <w:u w:val="single"/>
        </w:rPr>
      </w:pPr>
      <w:r>
        <w:rPr>
          <w:rFonts w:eastAsia="Times New Roman"/>
        </w:rPr>
        <w:t xml:space="preserve">Thomson, G., &amp; </w:t>
      </w:r>
      <w:proofErr w:type="spellStart"/>
      <w:r>
        <w:rPr>
          <w:rFonts w:eastAsia="Times New Roman"/>
        </w:rPr>
        <w:t>Arlidge</w:t>
      </w:r>
      <w:proofErr w:type="spellEnd"/>
      <w:r>
        <w:rPr>
          <w:rFonts w:eastAsia="Times New Roman"/>
        </w:rPr>
        <w:t xml:space="preserve">, S. (2002). </w:t>
      </w:r>
      <w:proofErr w:type="gramStart"/>
      <w:r>
        <w:rPr>
          <w:rFonts w:eastAsia="Times New Roman"/>
          <w:i/>
        </w:rPr>
        <w:t>Five minute</w:t>
      </w:r>
      <w:proofErr w:type="gramEnd"/>
      <w:r>
        <w:rPr>
          <w:rFonts w:eastAsia="Times New Roman"/>
          <w:i/>
        </w:rPr>
        <w:t xml:space="preserve"> field trips</w:t>
      </w:r>
      <w:r>
        <w:rPr>
          <w:rFonts w:eastAsia="Times New Roman"/>
        </w:rPr>
        <w:t xml:space="preserve">. Global, Environmental &amp; Outdoor Council. Retrieved from </w:t>
      </w:r>
      <w:r w:rsidRPr="00B33C7D">
        <w:t>http://www.geoec.org/lessons/5min-fieldtrips.pdf</w:t>
      </w:r>
      <w:r>
        <w:rPr>
          <w:rStyle w:val="Hyperlink"/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D250C" w:rsidRPr="003433EB" w:rsidRDefault="00116C11" w:rsidP="003433EB">
      <w:pPr>
        <w:pStyle w:val="Heading1"/>
        <w:rPr>
          <w:sz w:val="28"/>
        </w:rPr>
      </w:pPr>
      <w:r w:rsidRPr="003433EB">
        <w:rPr>
          <w:sz w:val="28"/>
        </w:rPr>
        <w:t>Chapter 17</w:t>
      </w:r>
    </w:p>
    <w:p w:rsidR="008C1273" w:rsidRDefault="008C1273" w:rsidP="003433EB">
      <w:r w:rsidRPr="00676B67">
        <w:t xml:space="preserve">CIRA Ontario. (2010). </w:t>
      </w:r>
      <w:proofErr w:type="gramStart"/>
      <w:r w:rsidRPr="00676B67">
        <w:rPr>
          <w:i/>
        </w:rPr>
        <w:t>Everybody</w:t>
      </w:r>
      <w:proofErr w:type="gramEnd"/>
      <w:r w:rsidRPr="00676B67">
        <w:rPr>
          <w:i/>
        </w:rPr>
        <w:t xml:space="preserve"> move </w:t>
      </w:r>
      <w:r w:rsidRPr="00676B67">
        <w:t>(2nd ed.).</w:t>
      </w:r>
      <w:r w:rsidRPr="00676B67">
        <w:rPr>
          <w:i/>
        </w:rPr>
        <w:t xml:space="preserve"> </w:t>
      </w:r>
      <w:r w:rsidRPr="00676B67">
        <w:t>Champaign, IL: Human Kinetics.</w:t>
      </w:r>
    </w:p>
    <w:p w:rsidR="004C72BC" w:rsidRDefault="004C72BC" w:rsidP="003433EB">
      <w:r w:rsidRPr="004E39F9">
        <w:t>Peel District School Board</w:t>
      </w:r>
      <w:r w:rsidRPr="00676B67">
        <w:t xml:space="preserve">. (2016). </w:t>
      </w:r>
      <w:r w:rsidRPr="00676B67">
        <w:rPr>
          <w:i/>
        </w:rPr>
        <w:t>Character attributes in action: An educator’s guide to promoting student wellness with physical activity, focused on character development.</w:t>
      </w:r>
      <w:r w:rsidRPr="00676B67">
        <w:t xml:space="preserve"> www.peelschools.org/aboutus/safeschools/Documents/Character%20Attributes%20in%20Action%20-%20Activity%20Guide.pdf</w:t>
      </w:r>
    </w:p>
    <w:p w:rsidR="00116C11" w:rsidRPr="00676B67" w:rsidRDefault="00116C11" w:rsidP="003433EB">
      <w:pPr>
        <w:rPr>
          <w:lang w:eastAsia="ja-JP"/>
        </w:rPr>
      </w:pPr>
      <w:r w:rsidRPr="00676B67">
        <w:rPr>
          <w:lang w:eastAsia="ja-JP"/>
        </w:rPr>
        <w:t xml:space="preserve">Scaini, C. (2008). </w:t>
      </w:r>
      <w:r w:rsidRPr="00676B67">
        <w:rPr>
          <w:i/>
          <w:lang w:eastAsia="ja-JP"/>
        </w:rPr>
        <w:t xml:space="preserve">Fun classroom fitness routines—Ages 10-14 </w:t>
      </w:r>
      <w:r w:rsidRPr="00676B67">
        <w:rPr>
          <w:lang w:eastAsia="ja-JP"/>
        </w:rPr>
        <w:t>[DVD].</w:t>
      </w:r>
      <w:r w:rsidRPr="00676B67">
        <w:rPr>
          <w:i/>
          <w:lang w:eastAsia="ja-JP"/>
        </w:rPr>
        <w:t xml:space="preserve"> </w:t>
      </w:r>
      <w:r w:rsidR="00600ACE">
        <w:rPr>
          <w:lang w:eastAsia="ja-JP"/>
        </w:rPr>
        <w:t>Champaign, IL: Human Kinetics.</w:t>
      </w:r>
    </w:p>
    <w:p w:rsidR="00116C11" w:rsidRDefault="00116C11" w:rsidP="003433EB">
      <w:pPr>
        <w:rPr>
          <w:lang w:eastAsia="ja-JP"/>
        </w:rPr>
      </w:pPr>
      <w:r w:rsidRPr="00676B67">
        <w:rPr>
          <w:lang w:eastAsia="ja-JP"/>
        </w:rPr>
        <w:t xml:space="preserve">Scaini, C., &amp; Evans, C. (2012). </w:t>
      </w:r>
      <w:proofErr w:type="gramStart"/>
      <w:r w:rsidRPr="00676B67">
        <w:rPr>
          <w:i/>
          <w:lang w:eastAsia="ja-JP"/>
        </w:rPr>
        <w:t>50</w:t>
      </w:r>
      <w:proofErr w:type="gramEnd"/>
      <w:r w:rsidRPr="00676B67">
        <w:rPr>
          <w:i/>
          <w:lang w:eastAsia="ja-JP"/>
        </w:rPr>
        <w:t xml:space="preserve"> games for going green. </w:t>
      </w:r>
      <w:r w:rsidRPr="00676B67">
        <w:rPr>
          <w:lang w:eastAsia="ja-JP"/>
        </w:rPr>
        <w:t xml:space="preserve">Champaign, IL: Human Kinetics.  </w:t>
      </w:r>
    </w:p>
    <w:p w:rsidR="00C925B2" w:rsidRPr="001B3DF7" w:rsidRDefault="00C925B2" w:rsidP="001B3DF7">
      <w:pPr>
        <w:pStyle w:val="Heading1"/>
        <w:rPr>
          <w:sz w:val="28"/>
          <w:lang w:eastAsia="ja-JP"/>
        </w:rPr>
      </w:pPr>
      <w:r w:rsidRPr="001B3DF7">
        <w:rPr>
          <w:sz w:val="28"/>
          <w:lang w:eastAsia="ja-JP"/>
        </w:rPr>
        <w:lastRenderedPageBreak/>
        <w:t>Chapter 18</w:t>
      </w:r>
    </w:p>
    <w:p w:rsidR="00C925B2" w:rsidRPr="00C207A5" w:rsidRDefault="00C925B2" w:rsidP="00116C11">
      <w:pPr>
        <w:rPr>
          <w:lang w:eastAsia="ja-JP"/>
        </w:rPr>
      </w:pPr>
      <w:proofErr w:type="spellStart"/>
      <w:r>
        <w:rPr>
          <w:lang w:eastAsia="ja-JP"/>
        </w:rPr>
        <w:t>Foran</w:t>
      </w:r>
      <w:proofErr w:type="spellEnd"/>
      <w:r>
        <w:rPr>
          <w:lang w:eastAsia="ja-JP"/>
        </w:rPr>
        <w:t xml:space="preserve">, A., Redmond, </w:t>
      </w:r>
      <w:r w:rsidR="00E24601">
        <w:rPr>
          <w:lang w:eastAsia="ja-JP"/>
        </w:rPr>
        <w:t xml:space="preserve">K., &amp; </w:t>
      </w:r>
      <w:proofErr w:type="spellStart"/>
      <w:r w:rsidR="00E24601">
        <w:rPr>
          <w:lang w:eastAsia="ja-JP"/>
        </w:rPr>
        <w:t>Toeffler</w:t>
      </w:r>
      <w:proofErr w:type="spellEnd"/>
      <w:r w:rsidR="00E24601">
        <w:rPr>
          <w:lang w:eastAsia="ja-JP"/>
        </w:rPr>
        <w:t>, T. (2017</w:t>
      </w:r>
      <w:r w:rsidR="00E24601" w:rsidRPr="00E24601">
        <w:rPr>
          <w:lang w:eastAsia="ja-JP"/>
        </w:rPr>
        <w:t>).</w:t>
      </w:r>
      <w:r w:rsidR="00E24601" w:rsidRPr="00E24601">
        <w:rPr>
          <w:i/>
          <w:lang w:eastAsia="ja-JP"/>
        </w:rPr>
        <w:t xml:space="preserve"> The get-outside guide to winter activities</w:t>
      </w:r>
      <w:r w:rsidR="00E24601">
        <w:rPr>
          <w:lang w:eastAsia="ja-JP"/>
        </w:rPr>
        <w:t xml:space="preserve"> (pp. 66-68, 71, 75-77, 90-91, 94-95). Champaign, IL: Human Kinetics. </w:t>
      </w:r>
    </w:p>
    <w:p w:rsidR="00541A82" w:rsidRPr="001506DA" w:rsidRDefault="00541A82" w:rsidP="001506DA">
      <w:pPr>
        <w:pStyle w:val="Heading1"/>
        <w:rPr>
          <w:sz w:val="28"/>
          <w:lang w:eastAsia="ja-JP"/>
        </w:rPr>
      </w:pPr>
      <w:r w:rsidRPr="001506DA">
        <w:rPr>
          <w:sz w:val="28"/>
          <w:lang w:eastAsia="ja-JP"/>
        </w:rPr>
        <w:t>Chapter 20</w:t>
      </w:r>
    </w:p>
    <w:p w:rsidR="00541A82" w:rsidRPr="00B33F9E" w:rsidRDefault="00541A82" w:rsidP="001506DA">
      <w:pPr>
        <w:rPr>
          <w:rFonts w:ascii="Times New Roman" w:hAnsi="Times New Roman"/>
          <w:b/>
          <w:bCs/>
          <w:lang w:val="en-CA"/>
        </w:rPr>
      </w:pPr>
      <w:r w:rsidRPr="00541A82">
        <w:rPr>
          <w:lang w:val="en-CA"/>
        </w:rPr>
        <w:t>Ontario Ministry of Education (2015).</w:t>
      </w:r>
      <w:r w:rsidRPr="00762E33">
        <w:rPr>
          <w:i/>
          <w:lang w:val="en-CA"/>
        </w:rPr>
        <w:t xml:space="preserve"> The Ontario Curriculum Grades 1-8: Health and Physical Education, 2015. </w:t>
      </w:r>
      <w:r w:rsidRPr="00541A82">
        <w:rPr>
          <w:lang w:val="en-CA"/>
        </w:rPr>
        <w:t>Retrieved from </w:t>
      </w:r>
      <w:r w:rsidRPr="00541A82">
        <w:t>http://www.edu.gov.on.ca/eng/curriculum/elementary/health1to8.pdf</w:t>
      </w:r>
    </w:p>
    <w:p w:rsidR="00541A82" w:rsidRDefault="00541A82" w:rsidP="00116C11"/>
    <w:sectPr w:rsidR="00541A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2DB"/>
    <w:rsid w:val="0000021D"/>
    <w:rsid w:val="0003173B"/>
    <w:rsid w:val="000C53E0"/>
    <w:rsid w:val="00116C11"/>
    <w:rsid w:val="001506DA"/>
    <w:rsid w:val="001B3DF7"/>
    <w:rsid w:val="002B3C16"/>
    <w:rsid w:val="002E1677"/>
    <w:rsid w:val="003433EB"/>
    <w:rsid w:val="003B2D03"/>
    <w:rsid w:val="003D6D96"/>
    <w:rsid w:val="004C72BC"/>
    <w:rsid w:val="00541A82"/>
    <w:rsid w:val="0056524A"/>
    <w:rsid w:val="00600ACE"/>
    <w:rsid w:val="007026A4"/>
    <w:rsid w:val="008142DB"/>
    <w:rsid w:val="00834A3A"/>
    <w:rsid w:val="008C0DE2"/>
    <w:rsid w:val="008C1273"/>
    <w:rsid w:val="009D18B8"/>
    <w:rsid w:val="009D250C"/>
    <w:rsid w:val="00A15AC1"/>
    <w:rsid w:val="00B33C7D"/>
    <w:rsid w:val="00BB7809"/>
    <w:rsid w:val="00BF579C"/>
    <w:rsid w:val="00C16A16"/>
    <w:rsid w:val="00C207A5"/>
    <w:rsid w:val="00C925B2"/>
    <w:rsid w:val="00CC5DDD"/>
    <w:rsid w:val="00D00DDD"/>
    <w:rsid w:val="00D1720F"/>
    <w:rsid w:val="00E24601"/>
    <w:rsid w:val="00F47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DF9E45-0765-427F-92CE-BE04353EA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026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C5DD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sid w:val="008142DB"/>
    <w:pPr>
      <w:spacing w:after="200" w:line="240" w:lineRule="auto"/>
    </w:pPr>
    <w:rPr>
      <w:rFonts w:ascii="Arial" w:eastAsia="Arial" w:hAnsi="Arial" w:cs="Arial"/>
      <w:color w:val="000000"/>
      <w:sz w:val="24"/>
      <w:szCs w:val="24"/>
      <w:lang w:val="en-C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42DB"/>
    <w:rPr>
      <w:rFonts w:ascii="Arial" w:eastAsia="Arial" w:hAnsi="Arial" w:cs="Arial"/>
      <w:color w:val="000000"/>
      <w:sz w:val="24"/>
      <w:szCs w:val="24"/>
      <w:lang w:val="en-CA"/>
    </w:rPr>
  </w:style>
  <w:style w:type="character" w:styleId="Strong">
    <w:name w:val="Strong"/>
    <w:basedOn w:val="DefaultParagraphFont"/>
    <w:uiPriority w:val="22"/>
    <w:qFormat/>
    <w:rsid w:val="0003173B"/>
    <w:rPr>
      <w:b/>
      <w:bCs/>
    </w:rPr>
  </w:style>
  <w:style w:type="character" w:styleId="Emphasis">
    <w:name w:val="Emphasis"/>
    <w:basedOn w:val="DefaultParagraphFont"/>
    <w:uiPriority w:val="20"/>
    <w:qFormat/>
    <w:rsid w:val="0003173B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D1720F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72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20F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efaultParagraphFont"/>
    <w:rsid w:val="009D250C"/>
  </w:style>
  <w:style w:type="character" w:styleId="Hyperlink">
    <w:name w:val="Hyperlink"/>
    <w:basedOn w:val="DefaultParagraphFont"/>
    <w:uiPriority w:val="99"/>
    <w:unhideWhenUsed/>
    <w:rsid w:val="009D250C"/>
    <w:rPr>
      <w:color w:val="0000FF"/>
      <w:u w:val="single"/>
    </w:rPr>
  </w:style>
  <w:style w:type="character" w:customStyle="1" w:styleId="style3">
    <w:name w:val="style3"/>
    <w:basedOn w:val="DefaultParagraphFont"/>
    <w:rsid w:val="009D250C"/>
  </w:style>
  <w:style w:type="character" w:customStyle="1" w:styleId="Heading2Char">
    <w:name w:val="Heading 2 Char"/>
    <w:basedOn w:val="DefaultParagraphFont"/>
    <w:link w:val="Heading2"/>
    <w:uiPriority w:val="9"/>
    <w:rsid w:val="00CC5DD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7026A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26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11" ma:contentTypeDescription="Create a new document." ma:contentTypeScope="" ma:versionID="9fc817aef22139bcc320bde061825976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b70ff804cf417bb514735cfae320e5f2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5432195-D704-4F08-92B2-61402F06171A}"/>
</file>

<file path=customXml/itemProps2.xml><?xml version="1.0" encoding="utf-8"?>
<ds:datastoreItem xmlns:ds="http://schemas.openxmlformats.org/officeDocument/2006/customXml" ds:itemID="{D12DFCF9-C136-4B3B-905E-3C1A1173FE4F}"/>
</file>

<file path=customXml/itemProps3.xml><?xml version="1.0" encoding="utf-8"?>
<ds:datastoreItem xmlns:ds="http://schemas.openxmlformats.org/officeDocument/2006/customXml" ds:itemID="{1493602E-0042-4F6D-BB0D-9678A2704BB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</TotalTime>
  <Pages>3</Pages>
  <Words>635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Kirsten Keller</dc:creator>
  <cp:keywords/>
  <dc:description/>
  <cp:lastModifiedBy>Kirsten Keller</cp:lastModifiedBy>
  <cp:revision>24</cp:revision>
  <dcterms:created xsi:type="dcterms:W3CDTF">2018-04-02T14:07:00Z</dcterms:created>
  <dcterms:modified xsi:type="dcterms:W3CDTF">2018-05-29T19:10:00Z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