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DFE0F4-D59A-497E-B086-2AE2E0F71ED8}"/>
</file>

<file path=customXml/itemProps2.xml><?xml version="1.0" encoding="utf-8"?>
<ds:datastoreItem xmlns:ds="http://schemas.openxmlformats.org/officeDocument/2006/customXml" ds:itemID="{01017003-0B38-4B13-9498-F8FD27794BED}"/>
</file>

<file path=customXml/itemProps3.xml><?xml version="1.0" encoding="utf-8"?>
<ds:datastoreItem xmlns:ds="http://schemas.openxmlformats.org/officeDocument/2006/customXml" ds:itemID="{D88067AC-8351-4709-B358-640CD2B1AD4A}"/>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