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D5EAB" w14:textId="77777777" w:rsidR="003E5980" w:rsidRDefault="001850DA" w:rsidP="001850DA">
      <w:pPr>
        <w:jc w:val="center"/>
        <w:outlineLvl w:val="0"/>
        <w:rPr>
          <w:b/>
          <w:sz w:val="28"/>
          <w:szCs w:val="28"/>
        </w:rPr>
      </w:pPr>
      <w:bookmarkStart w:id="0" w:name="_GoBack"/>
      <w:bookmarkEnd w:id="0"/>
      <w:r>
        <w:rPr>
          <w:b/>
          <w:sz w:val="28"/>
          <w:szCs w:val="28"/>
        </w:rPr>
        <w:t xml:space="preserve">Assessing Technique and Tactical Performance </w:t>
      </w:r>
    </w:p>
    <w:p w14:paraId="0B858FDB" w14:textId="77777777" w:rsidR="003E5980" w:rsidRDefault="00EC7EA7"/>
    <w:p w14:paraId="1DEC84D9" w14:textId="4C03967C" w:rsidR="003E5980" w:rsidRDefault="001850DA" w:rsidP="00706BB8">
      <w:pPr>
        <w:ind w:firstLine="720"/>
      </w:pPr>
      <w:r>
        <w:t>In Sport Education, we emphasize the importance of assessing students’ performance in context, thereby making the assessment more authentic.</w:t>
      </w:r>
      <w:r w:rsidR="00564D42">
        <w:t xml:space="preserve"> </w:t>
      </w:r>
      <w:r>
        <w:t xml:space="preserve">The assessment scoring guides in this sub-folder allow for assessing student performance in actual game conditions. </w:t>
      </w:r>
    </w:p>
    <w:p w14:paraId="15B14CD4" w14:textId="5DCA5A27" w:rsidR="00706BB8" w:rsidRDefault="00706BB8">
      <w:pPr>
        <w:ind w:firstLine="720"/>
      </w:pPr>
      <w:r>
        <w:t>We have included scoring guide templates across the various types of games (e.g., net games, invasion games). The templates provide the opportunity to collect information on students’ use of the basic skills/techniques (i.e., passing; receiving; shooting) as well as more tactical components of game play such as guarding/marking, court coverage, base position recovery, and support.</w:t>
      </w:r>
      <w:r w:rsidR="00564D42">
        <w:t xml:space="preserve"> </w:t>
      </w:r>
      <w:r>
        <w:t>The important thing to remember is that such assessments should take place throughout the season’s games/matches.</w:t>
      </w:r>
      <w:r w:rsidR="00564D42">
        <w:t xml:space="preserve"> </w:t>
      </w:r>
      <w:r>
        <w:t>This form of assessment should be possible because as a teacher, once the season starts, you should have more time available to engage in this important teaching function.</w:t>
      </w:r>
      <w:r w:rsidR="00564D42">
        <w:t xml:space="preserve"> </w:t>
      </w:r>
    </w:p>
    <w:p w14:paraId="4DDD2C3E" w14:textId="7612B02C" w:rsidR="00706BB8" w:rsidRDefault="00706BB8">
      <w:pPr>
        <w:ind w:firstLine="720"/>
      </w:pPr>
      <w:r>
        <w:t>Assessing students throughout the season will also keep you from having to assess all students in one class period.</w:t>
      </w:r>
      <w:r w:rsidR="00564D42">
        <w:t xml:space="preserve"> </w:t>
      </w:r>
      <w:r>
        <w:t>Rather, it allows you to focus on just a few players when they have their matches that day.</w:t>
      </w:r>
      <w:r w:rsidR="00564D42">
        <w:t xml:space="preserve"> </w:t>
      </w:r>
      <w:r>
        <w:t xml:space="preserve">For each </w:t>
      </w:r>
      <w:r w:rsidR="001850DA">
        <w:t>template,</w:t>
      </w:r>
      <w:r>
        <w:t xml:space="preserve"> we have provided 4-5 specific assessment targets, but depending on the season’s goals you set you might only focus on one or two of those.</w:t>
      </w:r>
      <w:r w:rsidR="00564D42">
        <w:t xml:space="preserve"> </w:t>
      </w:r>
    </w:p>
    <w:p w14:paraId="38F72E73" w14:textId="76ED3AF7" w:rsidR="00706BB8" w:rsidRDefault="00706BB8">
      <w:pPr>
        <w:ind w:firstLine="720"/>
      </w:pPr>
      <w:r>
        <w:t>The scoring guide templates can serve multiple functions.</w:t>
      </w:r>
      <w:r w:rsidR="00564D42">
        <w:t xml:space="preserve"> </w:t>
      </w:r>
      <w:r>
        <w:t>First, they can help focus your instruction throughout the season.</w:t>
      </w:r>
      <w:r w:rsidR="00564D42">
        <w:t xml:space="preserve"> </w:t>
      </w:r>
      <w:r>
        <w:t>They provide clarity relative to what you will assess and so they can help guide your design of practice tasks, both early in the season as you model the class-wide practices, as well as during the season’s games.</w:t>
      </w:r>
      <w:r w:rsidR="00564D42">
        <w:t xml:space="preserve"> </w:t>
      </w:r>
    </w:p>
    <w:p w14:paraId="7DBDC924" w14:textId="4A9CEFBD" w:rsidR="00706BB8" w:rsidRDefault="00706BB8" w:rsidP="00706BB8">
      <w:pPr>
        <w:ind w:firstLine="720"/>
      </w:pPr>
      <w:r>
        <w:t xml:space="preserve">The goal is for formal assessment of your planned season outcomes to be less will become less visible, but </w:t>
      </w:r>
      <w:r w:rsidR="00EC7EA7">
        <w:t>on going</w:t>
      </w:r>
      <w:r>
        <w:t xml:space="preserve"> throughout each lesson.</w:t>
      </w:r>
      <w:r w:rsidR="00564D42">
        <w:t xml:space="preserve"> </w:t>
      </w:r>
      <w:r>
        <w:t>Thus, you should not have to employ a “testing day” at the conclusion of the season, where all students are made to watch one peer perform an isolated skill task in front of the whole group.</w:t>
      </w:r>
      <w:r w:rsidR="00564D42">
        <w:t xml:space="preserve"> </w:t>
      </w:r>
      <w:r>
        <w:t>Second, you can now convey to students more explicitly on the outset of the season what it is that you are looking for in your assessment of their game play.</w:t>
      </w:r>
    </w:p>
    <w:p w14:paraId="74DA6256" w14:textId="31A1E413" w:rsidR="00706BB8" w:rsidRDefault="00706BB8">
      <w:pPr>
        <w:ind w:firstLine="720"/>
      </w:pPr>
      <w:r>
        <w:t>Each scoring guide is followed by separate pages that each have space for assessing small groups (e.g., a team of up to 10) on just one game performance indicator.</w:t>
      </w:r>
      <w:r w:rsidR="00564D42">
        <w:t xml:space="preserve"> </w:t>
      </w:r>
      <w:r>
        <w:t>For example, the Pickle-ball template includes a scoring guide for assessing Serving, Groundstrokes, Ball placement, and Court Movement.</w:t>
      </w:r>
      <w:r w:rsidR="00564D42">
        <w:t xml:space="preserve"> </w:t>
      </w:r>
      <w:r>
        <w:t>Each subsequent page then has a scoring guide template for one of those skills/tactics that you can use to collect game performance data.</w:t>
      </w:r>
      <w:r w:rsidR="00564D42">
        <w:t xml:space="preserve"> </w:t>
      </w:r>
    </w:p>
    <w:p w14:paraId="78FB6B9C" w14:textId="5D96AFF8" w:rsidR="00706BB8" w:rsidRDefault="00706BB8" w:rsidP="00706BB8">
      <w:pPr>
        <w:ind w:firstLine="720"/>
      </w:pPr>
      <w:r>
        <w:t>Finally, each scoring guide also includes two additional student performance areas that can/should be assessed.</w:t>
      </w:r>
      <w:r w:rsidR="00564D42">
        <w:t xml:space="preserve"> </w:t>
      </w:r>
      <w:r>
        <w:t>They include the students’ Knowledge of Game rules in effect for the season, and their Fair Play behavior performance.</w:t>
      </w:r>
      <w:r w:rsidR="00564D42">
        <w:t xml:space="preserve"> </w:t>
      </w:r>
      <w:r>
        <w:t>Those are included so you have the key areas for assessment in one tool.</w:t>
      </w:r>
      <w:r w:rsidR="00564D42">
        <w:t xml:space="preserve"> </w:t>
      </w:r>
    </w:p>
    <w:p w14:paraId="605C2EF0" w14:textId="145CA27B" w:rsidR="00706BB8" w:rsidRDefault="00706BB8">
      <w:pPr>
        <w:ind w:firstLine="720"/>
      </w:pPr>
      <w:r>
        <w:t>For each game/activity that we included there is a MS Word version of the assessment tool and an MS Excel version.</w:t>
      </w:r>
      <w:r w:rsidR="00564D42">
        <w:t xml:space="preserve"> </w:t>
      </w:r>
      <w:r>
        <w:t>The latter versions were included for those teachers who are comfortable in the use of tablet computers while teaching.</w:t>
      </w:r>
      <w:r w:rsidR="00564D42">
        <w:t xml:space="preserve"> </w:t>
      </w:r>
      <w:r>
        <w:t>Each area of game play performance has its own worksheet that is linked to a class summary sheet.</w:t>
      </w:r>
      <w:r w:rsidR="00564D42">
        <w:t xml:space="preserve"> </w:t>
      </w:r>
      <w:r>
        <w:t>As well, a worksheet is included that allows teachers in secondary programs to track student attendance during the Sport Education season.</w:t>
      </w:r>
      <w:r w:rsidR="00564D42">
        <w:t xml:space="preserve"> </w:t>
      </w:r>
    </w:p>
    <w:p w14:paraId="4B81A359" w14:textId="5319BEB0" w:rsidR="00706BB8" w:rsidRDefault="00706BB8">
      <w:pPr>
        <w:ind w:firstLine="720"/>
      </w:pPr>
      <w:r>
        <w:t>Thus, each Excel-based tool includes a worksheet for assessing students’ attendance, their skillfulness in using various techniques unique to the sport/activity, their skillfulness in using tactical aspects unique to the sport/activity, their knowledge of the rules in effect, and their Fair Play performance.</w:t>
      </w:r>
      <w:r w:rsidR="00564D42">
        <w:t xml:space="preserve"> </w:t>
      </w:r>
    </w:p>
    <w:sectPr w:rsidR="00706BB8">
      <w:pgSz w:w="11907" w:h="16834" w:code="9"/>
      <w:pgMar w:top="1411" w:right="1411" w:bottom="1411" w:left="1411" w:header="850" w:footer="562" w:gutter="0"/>
      <w:cols w:space="720"/>
      <w:titlePg/>
      <w:docGrid w:linePitch="2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5467E4"/>
    <w:multiLevelType w:val="hybridMultilevel"/>
    <w:tmpl w:val="C888999C"/>
    <w:lvl w:ilvl="0" w:tplc="C95C82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746D5857"/>
    <w:multiLevelType w:val="hybridMultilevel"/>
    <w:tmpl w:val="3B8AAD24"/>
    <w:lvl w:ilvl="0" w:tplc="0409000F">
      <w:start w:val="1"/>
      <w:numFmt w:val="decimal"/>
      <w:lvlText w:val="%1."/>
      <w:lvlJc w:val="left"/>
      <w:pPr>
        <w:tabs>
          <w:tab w:val="num" w:pos="720"/>
        </w:tabs>
        <w:ind w:left="720" w:hanging="360"/>
      </w:pPr>
      <w:rPr>
        <w:rFonts w:hint="default"/>
      </w:rPr>
    </w:lvl>
    <w:lvl w:ilvl="1" w:tplc="B7A601D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71"/>
  <w:drawingGridVerticalSpacing w:val="233"/>
  <w:displayHorizontalDrawingGridEvery w:val="0"/>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6DE"/>
    <w:rsid w:val="001850DA"/>
    <w:rsid w:val="00564D42"/>
    <w:rsid w:val="00706BB8"/>
    <w:rsid w:val="008276DE"/>
    <w:rsid w:val="00EC7EA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A5C3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qFormat/>
    <w:pPr>
      <w:spacing w:before="100" w:beforeAutospacing="1" w:after="100" w:afterAutospacing="1" w:line="480" w:lineRule="auto"/>
      <w:ind w:firstLine="576"/>
      <w:outlineLvl w:val="1"/>
    </w:pPr>
    <w:rPr>
      <w:rFonts w:ascii="Arial Unicode MS" w:eastAsia="Arial Unicode MS" w:hAnsi="Arial Unicode MS"/>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Assessing Technique and Tactics</vt:lpstr>
    </vt:vector>
  </TitlesOfParts>
  <Company>Oregon State University, Community Network</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Technique and Tactics</dc:title>
  <dc:subject/>
  <dc:creator>Siedentop, Hastie &amp; van der Mars</dc:creator>
  <cp:keywords/>
  <dc:description/>
  <cp:lastModifiedBy>Melissa Feld</cp:lastModifiedBy>
  <cp:revision>4</cp:revision>
  <dcterms:created xsi:type="dcterms:W3CDTF">2018-08-01T00:07:00Z</dcterms:created>
  <dcterms:modified xsi:type="dcterms:W3CDTF">2019-02-19T15:18:00Z</dcterms:modified>
</cp:coreProperties>
</file>