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E7D5C" w14:textId="77777777" w:rsidR="00D41838" w:rsidRDefault="00FC241E" w:rsidP="00FC241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INTRODUCTION TO </w:t>
      </w:r>
    </w:p>
    <w:p w14:paraId="380735E3" w14:textId="77777777" w:rsidR="00D41838" w:rsidRDefault="00FC241E" w:rsidP="00FC241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Scorekeeping and Statistics</w:t>
      </w:r>
    </w:p>
    <w:p w14:paraId="07AB17BD" w14:textId="77777777" w:rsidR="00D41838" w:rsidRDefault="00601CF3">
      <w:pPr>
        <w:jc w:val="center"/>
        <w:rPr>
          <w:b/>
          <w:sz w:val="28"/>
          <w:szCs w:val="28"/>
        </w:rPr>
      </w:pPr>
    </w:p>
    <w:p w14:paraId="49BA7212" w14:textId="690EC885" w:rsidR="00D41838" w:rsidRDefault="00FC241E" w:rsidP="0089136D">
      <w:r>
        <w:tab/>
        <w:t>The scorekeeping and player/team statistics samples included in this resource offer basic starter versions for you and your students.</w:t>
      </w:r>
      <w:r w:rsidR="00601CF3">
        <w:t xml:space="preserve"> </w:t>
      </w:r>
      <w:r>
        <w:t xml:space="preserve">Needless to say, you can simplify them further by either leaving certain game statistics out or modifying them to suit your students’ level of development. </w:t>
      </w:r>
    </w:p>
    <w:p w14:paraId="10B6F02A" w14:textId="77777777" w:rsidR="0089136D" w:rsidRDefault="0089136D">
      <w:pPr>
        <w:ind w:firstLine="720"/>
      </w:pPr>
    </w:p>
    <w:p w14:paraId="552823A5" w14:textId="41CC56AB" w:rsidR="0089136D" w:rsidRDefault="0089136D">
      <w:pPr>
        <w:ind w:firstLine="720"/>
      </w:pPr>
      <w:r>
        <w:t>We have included both print (hard copy) versions and electronic versions.</w:t>
      </w:r>
      <w:r w:rsidR="00601CF3">
        <w:t xml:space="preserve"> </w:t>
      </w:r>
      <w:r>
        <w:t>The latter c</w:t>
      </w:r>
      <w:r w:rsidR="00FC241E">
        <w:t>an be used with either laptop computers, and/or tablet</w:t>
      </w:r>
      <w:r>
        <w:t>s that have MS Excel</w:t>
      </w:r>
      <w:r>
        <w:rPr>
          <w:vertAlign w:val="superscript"/>
        </w:rPr>
        <w:t xml:space="preserve">® </w:t>
      </w:r>
      <w:r w:rsidR="00FC241E">
        <w:t>loaded.</w:t>
      </w:r>
      <w:r w:rsidR="00601CF3">
        <w:t xml:space="preserve"> </w:t>
      </w:r>
      <w:r>
        <w:t xml:space="preserve">And with some creativity and knowledge of using this software, any of the templates can be modified for different activities. </w:t>
      </w:r>
    </w:p>
    <w:p w14:paraId="7FEC471B" w14:textId="77777777" w:rsidR="0089136D" w:rsidRDefault="0089136D">
      <w:r>
        <w:tab/>
      </w:r>
    </w:p>
    <w:p w14:paraId="2670D2AB" w14:textId="5E6594D5" w:rsidR="00FC241E" w:rsidRDefault="0089136D" w:rsidP="0089136D">
      <w:pPr>
        <w:ind w:firstLine="720"/>
      </w:pPr>
      <w:r>
        <w:t>Teaching your students “how to keep score” takes time and practice.</w:t>
      </w:r>
      <w:r w:rsidR="00601CF3">
        <w:t xml:space="preserve"> </w:t>
      </w:r>
      <w:r>
        <w:t>When introducing a new sport/activity, we suggest t</w:t>
      </w:r>
      <w:r w:rsidR="00FC241E">
        <w:t xml:space="preserve">hat you use </w:t>
      </w:r>
      <w:r>
        <w:t>pre-season scrimmages early on in the season for scorekeeping practice. You can have one or two games going on while other, non-playing students get the opportunity to find their way around the scorekeeping sheets.</w:t>
      </w:r>
      <w:r w:rsidR="00601CF3">
        <w:t xml:space="preserve"> </w:t>
      </w:r>
      <w:r>
        <w:t>Furthermore, we strongly suggest you introduce the scorekeeping process by using the hard copy (printed) versions included.</w:t>
      </w:r>
      <w:r w:rsidR="00601CF3">
        <w:t xml:space="preserve"> </w:t>
      </w:r>
      <w:r>
        <w:t>This will allow more students to practice the scorekeeping skills and may</w:t>
      </w:r>
      <w:r w:rsidR="00601CF3">
        <w:t xml:space="preserve"> be easier to monitor for you.</w:t>
      </w:r>
    </w:p>
    <w:p w14:paraId="35C1ABAE" w14:textId="77777777" w:rsidR="00601CF3" w:rsidRDefault="00601CF3" w:rsidP="0089136D">
      <w:pPr>
        <w:ind w:firstLine="720"/>
      </w:pPr>
    </w:p>
    <w:p w14:paraId="514EA756" w14:textId="2B2BF126" w:rsidR="0089136D" w:rsidRDefault="00FC241E" w:rsidP="0089136D">
      <w:pPr>
        <w:ind w:firstLine="720"/>
      </w:pPr>
      <w:r>
        <w:t>Moreover, we urge you to keep it simple.</w:t>
      </w:r>
      <w:r w:rsidR="00601CF3">
        <w:t xml:space="preserve"> </w:t>
      </w:r>
      <w:r>
        <w:t>That is, when doing a net-court game season such as pickleball or tennis, start with keeping score on points scored.</w:t>
      </w:r>
      <w:r w:rsidR="00601CF3">
        <w:t xml:space="preserve"> </w:t>
      </w:r>
      <w:r>
        <w:t>As students gain more experience, you can add more scoring features such as aces, double faults, and even unforced errors.</w:t>
      </w:r>
      <w:r w:rsidR="00601CF3">
        <w:t xml:space="preserve"> </w:t>
      </w:r>
      <w:r>
        <w:t>Each of those are also excellent game</w:t>
      </w:r>
      <w:r w:rsidR="00601CF3">
        <w:t>-</w:t>
      </w:r>
      <w:r>
        <w:t>play performance indicators.</w:t>
      </w:r>
      <w:r w:rsidR="00601CF3">
        <w:t xml:space="preserve"> </w:t>
      </w:r>
    </w:p>
    <w:p w14:paraId="51767771" w14:textId="77777777" w:rsidR="0089136D" w:rsidRDefault="0089136D">
      <w:r>
        <w:tab/>
      </w:r>
    </w:p>
    <w:p w14:paraId="48D104CA" w14:textId="7AA1D29B" w:rsidR="0089136D" w:rsidRDefault="0089136D" w:rsidP="0089136D">
      <w:pPr>
        <w:ind w:firstLine="720"/>
      </w:pPr>
      <w:r>
        <w:t>Finally, in the spirit of “keeping each other honest”, and as a built-in accountability mechanism for scorekeepers, we have provided space on the score sheets to have players who have just completed a match to sign the score sheet.</w:t>
      </w:r>
      <w:r w:rsidR="00601CF3">
        <w:t xml:space="preserve"> </w:t>
      </w:r>
      <w:r>
        <w:t xml:space="preserve">This serves as their acknowledgment that the final score on the score sheet is correct. </w:t>
      </w:r>
    </w:p>
    <w:p w14:paraId="15B191F3" w14:textId="77777777" w:rsidR="0089136D" w:rsidRDefault="0089136D">
      <w:r>
        <w:tab/>
      </w:r>
    </w:p>
    <w:p w14:paraId="5838E594" w14:textId="77777777" w:rsidR="0089136D" w:rsidRDefault="0089136D">
      <w:r>
        <w:t>For each sport/activity the templates the following scorekeeping and statistics resources are included:</w:t>
      </w:r>
    </w:p>
    <w:p w14:paraId="19CC317D" w14:textId="7E08F0FA" w:rsidR="0089136D" w:rsidRDefault="0089136D">
      <w:pPr>
        <w:numPr>
          <w:ilvl w:val="0"/>
          <w:numId w:val="1"/>
        </w:numPr>
      </w:pPr>
      <w:r>
        <w:t xml:space="preserve">League standings and </w:t>
      </w:r>
      <w:r w:rsidR="00601CF3">
        <w:t>league statistics.</w:t>
      </w:r>
    </w:p>
    <w:p w14:paraId="49935044" w14:textId="63316CC0" w:rsidR="0089136D" w:rsidRDefault="0089136D">
      <w:pPr>
        <w:numPr>
          <w:ilvl w:val="0"/>
          <w:numId w:val="1"/>
        </w:numPr>
      </w:pPr>
      <w:r>
        <w:t xml:space="preserve">Team </w:t>
      </w:r>
      <w:r w:rsidR="00601CF3">
        <w:t>and</w:t>
      </w:r>
      <w:r>
        <w:t xml:space="preserve"> </w:t>
      </w:r>
      <w:r w:rsidR="00601CF3">
        <w:t>player statistics</w:t>
      </w:r>
      <w:r>
        <w:t>.</w:t>
      </w:r>
    </w:p>
    <w:p w14:paraId="337B21F6" w14:textId="39DF329E" w:rsidR="0089136D" w:rsidRDefault="0089136D">
      <w:pPr>
        <w:numPr>
          <w:ilvl w:val="0"/>
          <w:numId w:val="1"/>
        </w:numPr>
      </w:pPr>
      <w:r>
        <w:t>Score</w:t>
      </w:r>
      <w:r w:rsidR="00601CF3">
        <w:t xml:space="preserve"> sheets (with</w:t>
      </w:r>
      <w:r>
        <w:t xml:space="preserve"> sample completed ones).</w:t>
      </w:r>
    </w:p>
    <w:p w14:paraId="15D2AB5E" w14:textId="2D8CE188" w:rsidR="0089136D" w:rsidRDefault="0089136D">
      <w:pPr>
        <w:numPr>
          <w:ilvl w:val="0"/>
          <w:numId w:val="1"/>
        </w:numPr>
      </w:pPr>
      <w:r>
        <w:t xml:space="preserve">Team </w:t>
      </w:r>
      <w:r w:rsidR="00601CF3">
        <w:t xml:space="preserve">performance summary </w:t>
      </w:r>
      <w:r>
        <w:t>charts.</w:t>
      </w:r>
    </w:p>
    <w:p w14:paraId="4E04F630" w14:textId="77777777" w:rsidR="0089136D" w:rsidRDefault="0089136D">
      <w:pPr>
        <w:ind w:left="360"/>
      </w:pPr>
    </w:p>
    <w:p w14:paraId="2F655C64" w14:textId="2B71A5F0" w:rsidR="0089136D" w:rsidRDefault="0089136D">
      <w:pPr>
        <w:ind w:firstLine="720"/>
      </w:pPr>
      <w:r>
        <w:t>Each template has space for 5 teams of 10 students each, thus accommodating most class sizes.</w:t>
      </w:r>
      <w:r w:rsidR="00601CF3">
        <w:t xml:space="preserve"> </w:t>
      </w:r>
      <w:r>
        <w:t>When using graded competition, the same score sheets can be used, with fewer players listed.</w:t>
      </w:r>
      <w:r w:rsidR="00601CF3">
        <w:t xml:space="preserve"> </w:t>
      </w:r>
      <w:r>
        <w:t xml:space="preserve">Team </w:t>
      </w:r>
      <w:r w:rsidR="00601CF3">
        <w:t xml:space="preserve">statisticians </w:t>
      </w:r>
      <w:r>
        <w:t>can be directed to merge the results from the different “teams within teams.”</w:t>
      </w:r>
      <w:r w:rsidR="00601CF3">
        <w:t xml:space="preserve"> </w:t>
      </w:r>
    </w:p>
    <w:p w14:paraId="5E9630B5" w14:textId="3A50094E" w:rsidR="0089136D" w:rsidRDefault="00601CF3">
      <w:pPr>
        <w:ind w:firstLine="720"/>
      </w:pPr>
      <w:bookmarkStart w:id="0" w:name="_GoBack"/>
      <w:r>
        <w:rPr>
          <w:noProof/>
        </w:rPr>
        <w:pict w14:anchorId="578D50E4">
          <v:shapetype id="_x0000_t202" coordsize="21600,21600" o:spt="202" path="m,l,21600r21600,l21600,xe">
            <v:stroke joinstyle="miter"/>
            <v:path gradientshapeok="t" o:connecttype="rect"/>
          </v:shapetype>
          <v:shape id="Text Box 36" o:spid="_x0000_s1026" type="#_x0000_t202" style="position:absolute;left:0;text-align:left;margin-left:130.5pt;margin-top:11.2pt;width:328pt;height:32.65pt;z-index:251658240;visibility:visible;mso-wrap-style:square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">
            <v:textbox inset="0,1.44pt,2.16pt,0">
              <w:txbxContent>
                <w:p w14:paraId="0CDDF92E" w14:textId="77777777" w:rsidR="00601CF3" w:rsidRDefault="00601CF3" w:rsidP="00601CF3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From Complete Guide to Sport Education (3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position w:val="7"/>
                      <w:sz w:val="22"/>
                      <w:szCs w:val="22"/>
                      <w:vertAlign w:val="superscript"/>
                    </w:rPr>
                    <w:t>rd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ed.); Siedentop, Hastie, </w:t>
                  </w:r>
                </w:p>
                <w:p w14:paraId="3AAD02D9" w14:textId="77777777" w:rsidR="00601CF3" w:rsidRDefault="00601CF3" w:rsidP="00601CF3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&amp; van der Mars, 2020, Champaign, IL: Human Kinetics.</w:t>
                  </w:r>
                  <w:r>
                    <w:rPr>
                      <w:sz w:val="22"/>
                      <w:szCs w:val="22"/>
                    </w:rPr>
                    <w:t> </w:t>
                  </w:r>
                </w:p>
              </w:txbxContent>
            </v:textbox>
            <w10:wrap type="square"/>
          </v:shape>
        </w:pict>
      </w:r>
      <w:bookmarkEnd w:id="0"/>
    </w:p>
    <w:sectPr w:rsidR="0089136D" w:rsidSect="0089136D">
      <w:pgSz w:w="12240" w:h="15840"/>
      <w:pgMar w:top="1440" w:right="135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55C8F"/>
    <w:multiLevelType w:val="hybridMultilevel"/>
    <w:tmpl w:val="AC7CB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AFD"/>
    <w:rsid w:val="00601CF3"/>
    <w:rsid w:val="0089136D"/>
    <w:rsid w:val="00EF7AFD"/>
    <w:rsid w:val="00FC24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CA1F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1C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Scorekeeping and Statistics</vt:lpstr>
    </vt:vector>
  </TitlesOfParts>
  <Company>Oregon State University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Scorekeeping and Statistics</dc:title>
  <dc:subject/>
  <dc:creator>Siedentop, Hastie &amp; van der Mars</dc:creator>
  <cp:keywords/>
  <dc:description/>
  <cp:lastModifiedBy>Melissa Feld</cp:lastModifiedBy>
  <cp:revision>3</cp:revision>
  <dcterms:created xsi:type="dcterms:W3CDTF">2018-07-16T23:05:00Z</dcterms:created>
  <dcterms:modified xsi:type="dcterms:W3CDTF">2019-02-15T16:58:00Z</dcterms:modified>
</cp:coreProperties>
</file>